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7622CD" w14:textId="77777777" w:rsidR="00135CEA" w:rsidRPr="00135CEA" w:rsidRDefault="00135CEA" w:rsidP="00135CEA">
      <w:pPr>
        <w:spacing w:before="100" w:beforeAutospacing="1" w:after="100" w:afterAutospacing="1" w:line="300" w:lineRule="atLeast"/>
        <w:outlineLvl w:val="1"/>
        <w:rPr>
          <w:rFonts w:ascii="Arial" w:eastAsia="Times New Roman" w:hAnsi="Arial" w:cs="Arial"/>
          <w:b/>
          <w:bCs/>
          <w:sz w:val="24"/>
          <w:szCs w:val="24"/>
          <w:lang w:eastAsia="es-CO"/>
        </w:rPr>
      </w:pPr>
      <w:r w:rsidRPr="00135CEA">
        <w:rPr>
          <w:rFonts w:ascii="Arial" w:eastAsia="Times New Roman" w:hAnsi="Arial" w:cs="Arial"/>
          <w:b/>
          <w:bCs/>
          <w:sz w:val="24"/>
          <w:szCs w:val="24"/>
          <w:lang w:eastAsia="es-CO"/>
        </w:rPr>
        <w:t>Fundación Social Perea</w:t>
      </w:r>
    </w:p>
    <w:p w14:paraId="6921FFB7" w14:textId="77777777" w:rsidR="00135CEA" w:rsidRPr="00135CEA" w:rsidRDefault="00135CEA" w:rsidP="00135CEA">
      <w:pPr>
        <w:spacing w:before="100" w:beforeAutospacing="1" w:after="100" w:afterAutospacing="1" w:line="300" w:lineRule="atLeast"/>
        <w:outlineLvl w:val="2"/>
        <w:rPr>
          <w:rFonts w:ascii="Arial" w:eastAsia="Times New Roman" w:hAnsi="Arial" w:cs="Arial"/>
          <w:b/>
          <w:bCs/>
          <w:sz w:val="24"/>
          <w:szCs w:val="24"/>
          <w:lang w:eastAsia="es-CO"/>
        </w:rPr>
      </w:pPr>
      <w:r w:rsidRPr="00135CEA">
        <w:rPr>
          <w:rFonts w:ascii="Arial" w:eastAsia="Times New Roman" w:hAnsi="Arial" w:cs="Arial"/>
          <w:b/>
          <w:bCs/>
          <w:sz w:val="24"/>
          <w:szCs w:val="24"/>
          <w:lang w:eastAsia="es-CO"/>
        </w:rPr>
        <w:t>1. Propósito</w:t>
      </w:r>
    </w:p>
    <w:p w14:paraId="585C093D" w14:textId="68F4D21D" w:rsidR="00135CEA" w:rsidRPr="00135CEA" w:rsidRDefault="00135CEA" w:rsidP="00135CEA">
      <w:p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s-CO"/>
        </w:rPr>
      </w:pPr>
      <w:r w:rsidRPr="00135CEA">
        <w:rPr>
          <w:rFonts w:ascii="Arial" w:eastAsia="Times New Roman" w:hAnsi="Arial" w:cs="Arial"/>
          <w:sz w:val="24"/>
          <w:szCs w:val="24"/>
          <w:lang w:eastAsia="es-CO"/>
        </w:rPr>
        <w:t xml:space="preserve">La </w:t>
      </w:r>
      <w:r w:rsidRPr="00135CEA">
        <w:rPr>
          <w:rFonts w:ascii="Arial" w:eastAsia="Times New Roman" w:hAnsi="Arial" w:cs="Arial"/>
          <w:b/>
          <w:bCs/>
          <w:sz w:val="24"/>
          <w:szCs w:val="24"/>
          <w:lang w:eastAsia="es-CO"/>
        </w:rPr>
        <w:t>Fundación Social Perea</w:t>
      </w:r>
      <w:r w:rsidRPr="00135CEA">
        <w:rPr>
          <w:rFonts w:ascii="Arial" w:eastAsia="Times New Roman" w:hAnsi="Arial" w:cs="Arial"/>
          <w:sz w:val="24"/>
          <w:szCs w:val="24"/>
          <w:lang w:eastAsia="es-CO"/>
        </w:rPr>
        <w:t xml:space="preserve"> es una organización sin ánimo de lucro con más de 25 años de trayectoria en educación, desarrollo social y apoyo comunitario en el Chocó. Su estrategia de recaudación de fondos busca fortalecer la sostenibilidad institucional, ampliar la cobertura de programas educativos y movilizar recursos que contribuyan a mejorar las oportunidades de niños, jóvenes y familias en situación de vulnerabilidad. La Fundación pertenece al Régimen Tributario Especial, lo que facilita la recepción de donaciones y la expedición de certificados para beneficios tributarios de los donantes. </w:t>
      </w:r>
    </w:p>
    <w:p w14:paraId="5DDB495E" w14:textId="77777777" w:rsidR="00135CEA" w:rsidRPr="00135CEA" w:rsidRDefault="00135CEA" w:rsidP="00135CEA">
      <w:pPr>
        <w:spacing w:before="100" w:beforeAutospacing="1" w:after="100" w:afterAutospacing="1" w:line="300" w:lineRule="atLeast"/>
        <w:outlineLvl w:val="2"/>
        <w:rPr>
          <w:rFonts w:ascii="Arial" w:eastAsia="Times New Roman" w:hAnsi="Arial" w:cs="Arial"/>
          <w:b/>
          <w:bCs/>
          <w:sz w:val="24"/>
          <w:szCs w:val="24"/>
          <w:lang w:eastAsia="es-CO"/>
        </w:rPr>
      </w:pPr>
      <w:r w:rsidRPr="00135CEA">
        <w:rPr>
          <w:rFonts w:ascii="Arial" w:eastAsia="Times New Roman" w:hAnsi="Arial" w:cs="Arial"/>
          <w:b/>
          <w:bCs/>
          <w:sz w:val="24"/>
          <w:szCs w:val="24"/>
          <w:lang w:eastAsia="es-CO"/>
        </w:rPr>
        <w:t>2. Objetivos de Recaudación</w:t>
      </w:r>
    </w:p>
    <w:p w14:paraId="409A7DAE" w14:textId="77777777" w:rsidR="00135CEA" w:rsidRPr="00135CEA" w:rsidRDefault="00135CEA" w:rsidP="00135CEA">
      <w:p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s-CO"/>
        </w:rPr>
      </w:pPr>
      <w:r w:rsidRPr="00135CEA">
        <w:rPr>
          <w:rFonts w:ascii="Arial" w:eastAsia="Times New Roman" w:hAnsi="Arial" w:cs="Arial"/>
          <w:sz w:val="24"/>
          <w:szCs w:val="24"/>
          <w:lang w:eastAsia="es-CO"/>
        </w:rPr>
        <w:t>La estrategia se orienta a:</w:t>
      </w:r>
    </w:p>
    <w:p w14:paraId="01D45096" w14:textId="77777777" w:rsidR="00135CEA" w:rsidRPr="00135CEA" w:rsidRDefault="00135CEA" w:rsidP="00135CEA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s-CO"/>
        </w:rPr>
      </w:pPr>
      <w:r w:rsidRPr="00135CEA">
        <w:rPr>
          <w:rFonts w:ascii="Arial" w:eastAsia="Times New Roman" w:hAnsi="Arial" w:cs="Arial"/>
          <w:sz w:val="24"/>
          <w:szCs w:val="24"/>
          <w:lang w:eastAsia="es-CO"/>
        </w:rPr>
        <w:t>Financiar programas de educación virtual, formación técnica y desarrollo de habilidades para el empleo.</w:t>
      </w:r>
    </w:p>
    <w:p w14:paraId="49242BD6" w14:textId="77777777" w:rsidR="00135CEA" w:rsidRPr="00135CEA" w:rsidRDefault="00135CEA" w:rsidP="00135CEA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s-CO"/>
        </w:rPr>
      </w:pPr>
      <w:r w:rsidRPr="00135CEA">
        <w:rPr>
          <w:rFonts w:ascii="Arial" w:eastAsia="Times New Roman" w:hAnsi="Arial" w:cs="Arial"/>
          <w:sz w:val="24"/>
          <w:szCs w:val="24"/>
          <w:lang w:eastAsia="es-CO"/>
        </w:rPr>
        <w:t>Incrementar el acceso a becas y oportunidades de capacitación para poblaciones vulnerables.</w:t>
      </w:r>
    </w:p>
    <w:p w14:paraId="0BB28411" w14:textId="77777777" w:rsidR="00135CEA" w:rsidRPr="00135CEA" w:rsidRDefault="00135CEA" w:rsidP="00135CEA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s-CO"/>
        </w:rPr>
      </w:pPr>
      <w:r w:rsidRPr="00135CEA">
        <w:rPr>
          <w:rFonts w:ascii="Arial" w:eastAsia="Times New Roman" w:hAnsi="Arial" w:cs="Arial"/>
          <w:sz w:val="24"/>
          <w:szCs w:val="24"/>
          <w:lang w:eastAsia="es-CO"/>
        </w:rPr>
        <w:t>Apoyar proyectos de inclusión social, construcción de paz y fortalecimiento comunitario.</w:t>
      </w:r>
    </w:p>
    <w:p w14:paraId="5A814A0E" w14:textId="77777777" w:rsidR="00135CEA" w:rsidRPr="00135CEA" w:rsidRDefault="00135CEA" w:rsidP="00135CEA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s-CO"/>
        </w:rPr>
      </w:pPr>
      <w:r w:rsidRPr="00135CEA">
        <w:rPr>
          <w:rFonts w:ascii="Arial" w:eastAsia="Times New Roman" w:hAnsi="Arial" w:cs="Arial"/>
          <w:sz w:val="24"/>
          <w:szCs w:val="24"/>
          <w:lang w:eastAsia="es-CO"/>
        </w:rPr>
        <w:t>Mejorar la infraestructura tecnológica y educativa de la organización.</w:t>
      </w:r>
    </w:p>
    <w:p w14:paraId="2D02D8AC" w14:textId="39075280" w:rsidR="00135CEA" w:rsidRPr="00135CEA" w:rsidRDefault="00135CEA" w:rsidP="00135CEA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s-CO"/>
        </w:rPr>
      </w:pPr>
      <w:r w:rsidRPr="00135CEA">
        <w:rPr>
          <w:rFonts w:ascii="Arial" w:eastAsia="Times New Roman" w:hAnsi="Arial" w:cs="Arial"/>
          <w:sz w:val="24"/>
          <w:szCs w:val="24"/>
          <w:lang w:eastAsia="es-CO"/>
        </w:rPr>
        <w:t xml:space="preserve">Diversificar las fuentes de financiamiento mediante alianzas nacionales e internacionales. </w:t>
      </w:r>
    </w:p>
    <w:p w14:paraId="613F134D" w14:textId="77777777" w:rsidR="00135CEA" w:rsidRPr="00135CEA" w:rsidRDefault="00135CEA" w:rsidP="00135CEA">
      <w:pPr>
        <w:spacing w:before="100" w:beforeAutospacing="1" w:after="100" w:afterAutospacing="1" w:line="300" w:lineRule="atLeast"/>
        <w:outlineLvl w:val="2"/>
        <w:rPr>
          <w:rFonts w:ascii="Arial" w:eastAsia="Times New Roman" w:hAnsi="Arial" w:cs="Arial"/>
          <w:b/>
          <w:bCs/>
          <w:sz w:val="24"/>
          <w:szCs w:val="24"/>
          <w:lang w:eastAsia="es-CO"/>
        </w:rPr>
      </w:pPr>
      <w:r w:rsidRPr="00135CEA">
        <w:rPr>
          <w:rFonts w:ascii="Arial" w:eastAsia="Times New Roman" w:hAnsi="Arial" w:cs="Arial"/>
          <w:b/>
          <w:bCs/>
          <w:sz w:val="24"/>
          <w:szCs w:val="24"/>
          <w:lang w:eastAsia="es-CO"/>
        </w:rPr>
        <w:t>3. Donantes Prioritarios</w:t>
      </w:r>
    </w:p>
    <w:p w14:paraId="4BD4627D" w14:textId="77777777" w:rsidR="00135CEA" w:rsidRPr="00135CEA" w:rsidRDefault="00135CEA" w:rsidP="00135CEA">
      <w:p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s-CO"/>
        </w:rPr>
      </w:pPr>
      <w:r w:rsidRPr="00135CEA">
        <w:rPr>
          <w:rFonts w:ascii="Arial" w:eastAsia="Times New Roman" w:hAnsi="Arial" w:cs="Arial"/>
          <w:sz w:val="24"/>
          <w:szCs w:val="24"/>
          <w:lang w:eastAsia="es-CO"/>
        </w:rPr>
        <w:t>La Fundación concentra sus esfuerzos de captación en cuatro segmentos estratégicos:</w:t>
      </w:r>
    </w:p>
    <w:p w14:paraId="2DD3365E" w14:textId="51C621B1" w:rsidR="00135CEA" w:rsidRPr="00135CEA" w:rsidRDefault="00135CEA" w:rsidP="00135CEA">
      <w:p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s-CO"/>
        </w:rPr>
      </w:pPr>
      <w:r w:rsidRPr="00135CEA">
        <w:rPr>
          <w:rFonts w:ascii="Arial" w:eastAsia="Times New Roman" w:hAnsi="Arial" w:cs="Arial"/>
          <w:b/>
          <w:bCs/>
          <w:sz w:val="24"/>
          <w:szCs w:val="24"/>
          <w:lang w:eastAsia="es-CO"/>
        </w:rPr>
        <w:t>Filantropía internacional y cooperación para el desarrollo:</w:t>
      </w:r>
      <w:r w:rsidRPr="00135CEA">
        <w:rPr>
          <w:rFonts w:ascii="Arial" w:eastAsia="Times New Roman" w:hAnsi="Arial" w:cs="Arial"/>
          <w:sz w:val="24"/>
          <w:szCs w:val="24"/>
          <w:lang w:eastAsia="es-CO"/>
        </w:rPr>
        <w:t xml:space="preserve"> fundaciones privadas, organismos multilaterales y agencias de cooperación interesadas en educación, inclusión digital, comunidades afrodescendientes e indígenas y desarrollo territorial. </w:t>
      </w:r>
    </w:p>
    <w:p w14:paraId="1AD98FA3" w14:textId="1E8AE6D4" w:rsidR="00135CEA" w:rsidRPr="00135CEA" w:rsidRDefault="00135CEA" w:rsidP="00135CEA">
      <w:p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s-CO"/>
        </w:rPr>
      </w:pPr>
      <w:r w:rsidRPr="00135CEA">
        <w:rPr>
          <w:rFonts w:ascii="Arial" w:eastAsia="Times New Roman" w:hAnsi="Arial" w:cs="Arial"/>
          <w:b/>
          <w:bCs/>
          <w:sz w:val="24"/>
          <w:szCs w:val="24"/>
          <w:lang w:eastAsia="es-CO"/>
        </w:rPr>
        <w:t>Empresas y sector privado:</w:t>
      </w:r>
      <w:r w:rsidRPr="00135CEA">
        <w:rPr>
          <w:rFonts w:ascii="Arial" w:eastAsia="Times New Roman" w:hAnsi="Arial" w:cs="Arial"/>
          <w:sz w:val="24"/>
          <w:szCs w:val="24"/>
          <w:lang w:eastAsia="es-CO"/>
        </w:rPr>
        <w:t xml:space="preserve"> organizaciones con programas de Responsabilidad Social Empresarial (RSE) interesadas en apoyar becas, dotación tecnológica y proyectos educativos. </w:t>
      </w:r>
    </w:p>
    <w:p w14:paraId="276831BD" w14:textId="1BA831CB" w:rsidR="00135CEA" w:rsidRPr="00135CEA" w:rsidRDefault="00135CEA" w:rsidP="00135CEA">
      <w:p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s-CO"/>
        </w:rPr>
      </w:pPr>
      <w:r w:rsidRPr="00135CEA">
        <w:rPr>
          <w:rFonts w:ascii="Arial" w:eastAsia="Times New Roman" w:hAnsi="Arial" w:cs="Arial"/>
          <w:b/>
          <w:bCs/>
          <w:sz w:val="24"/>
          <w:szCs w:val="24"/>
          <w:lang w:eastAsia="es-CO"/>
        </w:rPr>
        <w:t>Donantes individuales:</w:t>
      </w:r>
      <w:r w:rsidRPr="00135CEA">
        <w:rPr>
          <w:rFonts w:ascii="Arial" w:eastAsia="Times New Roman" w:hAnsi="Arial" w:cs="Arial"/>
          <w:sz w:val="24"/>
          <w:szCs w:val="24"/>
          <w:lang w:eastAsia="es-CO"/>
        </w:rPr>
        <w:t xml:space="preserve"> colombianos residentes en el exterior, egresados, beneficiarios y personas comprometidas con el desarrollo social del Chocó. </w:t>
      </w:r>
    </w:p>
    <w:p w14:paraId="6348EB1C" w14:textId="5A3AC519" w:rsidR="00135CEA" w:rsidRPr="00135CEA" w:rsidRDefault="00135CEA" w:rsidP="00135CEA">
      <w:p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s-CO"/>
        </w:rPr>
      </w:pPr>
      <w:r w:rsidRPr="00135CEA">
        <w:rPr>
          <w:rFonts w:ascii="Arial" w:eastAsia="Times New Roman" w:hAnsi="Arial" w:cs="Arial"/>
          <w:b/>
          <w:bCs/>
          <w:sz w:val="24"/>
          <w:szCs w:val="24"/>
          <w:lang w:eastAsia="es-CO"/>
        </w:rPr>
        <w:lastRenderedPageBreak/>
        <w:t>Organizaciones religiosas y comunitarias:</w:t>
      </w:r>
      <w:r w:rsidRPr="00135CEA">
        <w:rPr>
          <w:rFonts w:ascii="Arial" w:eastAsia="Times New Roman" w:hAnsi="Arial" w:cs="Arial"/>
          <w:sz w:val="24"/>
          <w:szCs w:val="24"/>
          <w:lang w:eastAsia="es-CO"/>
        </w:rPr>
        <w:t xml:space="preserve"> iglesias, fundaciones y redes solidarias que promuevan iniciativas educativas y de asistencia social. </w:t>
      </w:r>
    </w:p>
    <w:p w14:paraId="7F708E00" w14:textId="77777777" w:rsidR="00135CEA" w:rsidRPr="00135CEA" w:rsidRDefault="00135CEA" w:rsidP="00135CEA">
      <w:pPr>
        <w:spacing w:before="100" w:beforeAutospacing="1" w:after="100" w:afterAutospacing="1" w:line="300" w:lineRule="atLeast"/>
        <w:outlineLvl w:val="2"/>
        <w:rPr>
          <w:rFonts w:ascii="Arial" w:eastAsia="Times New Roman" w:hAnsi="Arial" w:cs="Arial"/>
          <w:b/>
          <w:bCs/>
          <w:sz w:val="24"/>
          <w:szCs w:val="24"/>
          <w:lang w:eastAsia="es-CO"/>
        </w:rPr>
      </w:pPr>
      <w:r w:rsidRPr="00135CEA">
        <w:rPr>
          <w:rFonts w:ascii="Arial" w:eastAsia="Times New Roman" w:hAnsi="Arial" w:cs="Arial"/>
          <w:b/>
          <w:bCs/>
          <w:sz w:val="24"/>
          <w:szCs w:val="24"/>
          <w:lang w:eastAsia="es-CO"/>
        </w:rPr>
        <w:t>4. Principales Mecanismos de Financiación</w:t>
      </w:r>
    </w:p>
    <w:p w14:paraId="1C04875E" w14:textId="77777777" w:rsidR="00135CEA" w:rsidRPr="00135CEA" w:rsidRDefault="00135CEA" w:rsidP="00135CEA">
      <w:p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s-CO"/>
        </w:rPr>
      </w:pPr>
      <w:r w:rsidRPr="00135CEA">
        <w:rPr>
          <w:rFonts w:ascii="Arial" w:eastAsia="Times New Roman" w:hAnsi="Arial" w:cs="Arial"/>
          <w:sz w:val="24"/>
          <w:szCs w:val="24"/>
          <w:lang w:eastAsia="es-CO"/>
        </w:rPr>
        <w:t>La Fundación utiliza y proyecta fortalecer los siguientes mecanismos:</w:t>
      </w:r>
    </w:p>
    <w:p w14:paraId="74C9F43E" w14:textId="2B1B87F0" w:rsidR="00135CEA" w:rsidRPr="00135CEA" w:rsidRDefault="00135CEA" w:rsidP="00135CEA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s-CO"/>
        </w:rPr>
      </w:pPr>
      <w:r w:rsidRPr="00135CEA">
        <w:rPr>
          <w:rFonts w:ascii="Arial" w:eastAsia="Times New Roman" w:hAnsi="Arial" w:cs="Arial"/>
          <w:b/>
          <w:bCs/>
          <w:sz w:val="24"/>
          <w:szCs w:val="24"/>
          <w:lang w:eastAsia="es-CO"/>
        </w:rPr>
        <w:t>Donaciones directas</w:t>
      </w:r>
      <w:r w:rsidRPr="00135CEA">
        <w:rPr>
          <w:rFonts w:ascii="Arial" w:eastAsia="Times New Roman" w:hAnsi="Arial" w:cs="Arial"/>
          <w:sz w:val="24"/>
          <w:szCs w:val="24"/>
          <w:lang w:eastAsia="es-CO"/>
        </w:rPr>
        <w:t xml:space="preserve"> en dinero o especie provenientes de personas, empresas y organizaciones filantrópicas. </w:t>
      </w:r>
    </w:p>
    <w:p w14:paraId="02ABD93A" w14:textId="3A9617CB" w:rsidR="00135CEA" w:rsidRPr="00135CEA" w:rsidRDefault="00135CEA" w:rsidP="00135CEA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s-CO"/>
        </w:rPr>
      </w:pPr>
      <w:r w:rsidRPr="00135CEA">
        <w:rPr>
          <w:rFonts w:ascii="Arial" w:eastAsia="Times New Roman" w:hAnsi="Arial" w:cs="Arial"/>
          <w:b/>
          <w:bCs/>
          <w:sz w:val="24"/>
          <w:szCs w:val="24"/>
          <w:lang w:eastAsia="es-CO"/>
        </w:rPr>
        <w:t>Convocatorias y subvenciones</w:t>
      </w:r>
      <w:r w:rsidRPr="00135CEA">
        <w:rPr>
          <w:rFonts w:ascii="Arial" w:eastAsia="Times New Roman" w:hAnsi="Arial" w:cs="Arial"/>
          <w:sz w:val="24"/>
          <w:szCs w:val="24"/>
          <w:lang w:eastAsia="es-CO"/>
        </w:rPr>
        <w:t xml:space="preserve"> nacionales e internacionales para proyectos educativos y sociales. </w:t>
      </w:r>
    </w:p>
    <w:p w14:paraId="15B92C5D" w14:textId="003CE126" w:rsidR="00135CEA" w:rsidRPr="00135CEA" w:rsidRDefault="00135CEA" w:rsidP="00135CEA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s-CO"/>
        </w:rPr>
      </w:pPr>
      <w:r w:rsidRPr="00135CEA">
        <w:rPr>
          <w:rFonts w:ascii="Arial" w:eastAsia="Times New Roman" w:hAnsi="Arial" w:cs="Arial"/>
          <w:b/>
          <w:bCs/>
          <w:sz w:val="24"/>
          <w:szCs w:val="24"/>
          <w:lang w:eastAsia="es-CO"/>
        </w:rPr>
        <w:t>Alianzas estratégicas</w:t>
      </w:r>
      <w:r w:rsidRPr="00135CEA">
        <w:rPr>
          <w:rFonts w:ascii="Arial" w:eastAsia="Times New Roman" w:hAnsi="Arial" w:cs="Arial"/>
          <w:sz w:val="24"/>
          <w:szCs w:val="24"/>
          <w:lang w:eastAsia="es-CO"/>
        </w:rPr>
        <w:t xml:space="preserve"> con entidades públicas, privadas y organismos de cooperación. </w:t>
      </w:r>
    </w:p>
    <w:p w14:paraId="7BE7984B" w14:textId="40BF26B6" w:rsidR="00135CEA" w:rsidRPr="00135CEA" w:rsidRDefault="00135CEA" w:rsidP="00135CEA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s-CO"/>
        </w:rPr>
      </w:pPr>
      <w:r w:rsidRPr="00135CEA">
        <w:rPr>
          <w:rFonts w:ascii="Arial" w:eastAsia="Times New Roman" w:hAnsi="Arial" w:cs="Arial"/>
          <w:b/>
          <w:bCs/>
          <w:sz w:val="24"/>
          <w:szCs w:val="24"/>
          <w:lang w:eastAsia="es-CO"/>
        </w:rPr>
        <w:t>Patrocinio de programas y becas</w:t>
      </w:r>
      <w:r w:rsidRPr="00135CEA">
        <w:rPr>
          <w:rFonts w:ascii="Arial" w:eastAsia="Times New Roman" w:hAnsi="Arial" w:cs="Arial"/>
          <w:sz w:val="24"/>
          <w:szCs w:val="24"/>
          <w:lang w:eastAsia="es-CO"/>
        </w:rPr>
        <w:t xml:space="preserve">, mediante aportes empresariales e institucionales. </w:t>
      </w:r>
    </w:p>
    <w:p w14:paraId="7ECA620A" w14:textId="2D8ACBF4" w:rsidR="00135CEA" w:rsidRPr="00135CEA" w:rsidRDefault="00135CEA" w:rsidP="00135CEA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s-CO"/>
        </w:rPr>
      </w:pPr>
      <w:r w:rsidRPr="00135CEA">
        <w:rPr>
          <w:rFonts w:ascii="Arial" w:eastAsia="Times New Roman" w:hAnsi="Arial" w:cs="Arial"/>
          <w:b/>
          <w:bCs/>
          <w:sz w:val="24"/>
          <w:szCs w:val="24"/>
          <w:lang w:eastAsia="es-CO"/>
        </w:rPr>
        <w:t>Campañas digitales de recaudación</w:t>
      </w:r>
      <w:r w:rsidRPr="00135CEA">
        <w:rPr>
          <w:rFonts w:ascii="Arial" w:eastAsia="Times New Roman" w:hAnsi="Arial" w:cs="Arial"/>
          <w:sz w:val="24"/>
          <w:szCs w:val="24"/>
          <w:lang w:eastAsia="es-CO"/>
        </w:rPr>
        <w:t xml:space="preserve">, apoyadas en plataformas web y redes sociales. </w:t>
      </w:r>
    </w:p>
    <w:p w14:paraId="35200FF2" w14:textId="05EF7FD4" w:rsidR="00135CEA" w:rsidRPr="00135CEA" w:rsidRDefault="00135CEA" w:rsidP="00135CEA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s-CO"/>
        </w:rPr>
      </w:pPr>
      <w:r w:rsidRPr="00135CEA">
        <w:rPr>
          <w:rFonts w:ascii="Arial" w:eastAsia="Times New Roman" w:hAnsi="Arial" w:cs="Arial"/>
          <w:b/>
          <w:bCs/>
          <w:sz w:val="24"/>
          <w:szCs w:val="24"/>
          <w:lang w:eastAsia="es-CO"/>
        </w:rPr>
        <w:t>Ingresos por servicios educativos</w:t>
      </w:r>
      <w:r w:rsidRPr="00135CEA">
        <w:rPr>
          <w:rFonts w:ascii="Arial" w:eastAsia="Times New Roman" w:hAnsi="Arial" w:cs="Arial"/>
          <w:sz w:val="24"/>
          <w:szCs w:val="24"/>
          <w:lang w:eastAsia="es-CO"/>
        </w:rPr>
        <w:t xml:space="preserve">, destinados al fortalecimiento de la misión social de la organización. </w:t>
      </w:r>
    </w:p>
    <w:p w14:paraId="2A108990" w14:textId="77777777" w:rsidR="00135CEA" w:rsidRPr="00135CEA" w:rsidRDefault="00135CEA" w:rsidP="00135CEA">
      <w:pPr>
        <w:spacing w:before="100" w:beforeAutospacing="1" w:after="100" w:afterAutospacing="1" w:line="300" w:lineRule="atLeast"/>
        <w:outlineLvl w:val="2"/>
        <w:rPr>
          <w:rFonts w:ascii="Arial" w:eastAsia="Times New Roman" w:hAnsi="Arial" w:cs="Arial"/>
          <w:b/>
          <w:bCs/>
          <w:sz w:val="24"/>
          <w:szCs w:val="24"/>
          <w:lang w:eastAsia="es-CO"/>
        </w:rPr>
      </w:pPr>
      <w:r w:rsidRPr="00135CEA">
        <w:rPr>
          <w:rFonts w:ascii="Arial" w:eastAsia="Times New Roman" w:hAnsi="Arial" w:cs="Arial"/>
          <w:b/>
          <w:bCs/>
          <w:sz w:val="24"/>
          <w:szCs w:val="24"/>
          <w:lang w:eastAsia="es-CO"/>
        </w:rPr>
        <w:t>5. Filantropía Internacional y Patrocinio Fiscal</w:t>
      </w:r>
    </w:p>
    <w:p w14:paraId="577A1A33" w14:textId="788448F3" w:rsidR="00135CEA" w:rsidRPr="00135CEA" w:rsidRDefault="00135CEA" w:rsidP="00135CEA">
      <w:p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s-CO"/>
        </w:rPr>
      </w:pPr>
      <w:r w:rsidRPr="00135CEA">
        <w:rPr>
          <w:rFonts w:ascii="Arial" w:eastAsia="Times New Roman" w:hAnsi="Arial" w:cs="Arial"/>
          <w:sz w:val="24"/>
          <w:szCs w:val="24"/>
          <w:lang w:eastAsia="es-CO"/>
        </w:rPr>
        <w:t xml:space="preserve">La Fundación busca consolidarse como un aliado de confianza para la cooperación internacional mediante proyectos orientados a educación, bilingüismo, innovación tecnológica, inclusión social y desarrollo comunitario. La estrategia contempla la construcción de alianzas con fundaciones, universidades, empresas y organismos internacionales interesados en generar impacto social sostenible. </w:t>
      </w:r>
    </w:p>
    <w:p w14:paraId="024BFBE9" w14:textId="62C69D10" w:rsidR="00135CEA" w:rsidRPr="00135CEA" w:rsidRDefault="00135CEA" w:rsidP="00135CEA">
      <w:p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s-CO"/>
        </w:rPr>
      </w:pPr>
      <w:r w:rsidRPr="00135CEA">
        <w:rPr>
          <w:rFonts w:ascii="Arial" w:eastAsia="Times New Roman" w:hAnsi="Arial" w:cs="Arial"/>
          <w:sz w:val="24"/>
          <w:szCs w:val="24"/>
          <w:lang w:eastAsia="es-CO"/>
        </w:rPr>
        <w:t xml:space="preserve">Adicionalmente, se proyecta el uso de mecanismos de </w:t>
      </w:r>
      <w:r w:rsidRPr="00135CEA">
        <w:rPr>
          <w:rFonts w:ascii="Arial" w:eastAsia="Times New Roman" w:hAnsi="Arial" w:cs="Arial"/>
          <w:b/>
          <w:bCs/>
          <w:sz w:val="24"/>
          <w:szCs w:val="24"/>
          <w:lang w:eastAsia="es-CO"/>
        </w:rPr>
        <w:t xml:space="preserve">Patrocinio Fiscal (Fiscal </w:t>
      </w:r>
      <w:proofErr w:type="spellStart"/>
      <w:r w:rsidRPr="00135CEA">
        <w:rPr>
          <w:rFonts w:ascii="Arial" w:eastAsia="Times New Roman" w:hAnsi="Arial" w:cs="Arial"/>
          <w:b/>
          <w:bCs/>
          <w:sz w:val="24"/>
          <w:szCs w:val="24"/>
          <w:lang w:eastAsia="es-CO"/>
        </w:rPr>
        <w:t>Sponsorship</w:t>
      </w:r>
      <w:proofErr w:type="spellEnd"/>
      <w:r w:rsidRPr="00135CEA">
        <w:rPr>
          <w:rFonts w:ascii="Arial" w:eastAsia="Times New Roman" w:hAnsi="Arial" w:cs="Arial"/>
          <w:b/>
          <w:bCs/>
          <w:sz w:val="24"/>
          <w:szCs w:val="24"/>
          <w:lang w:eastAsia="es-CO"/>
        </w:rPr>
        <w:t>)</w:t>
      </w:r>
      <w:r w:rsidRPr="00135CEA">
        <w:rPr>
          <w:rFonts w:ascii="Arial" w:eastAsia="Times New Roman" w:hAnsi="Arial" w:cs="Arial"/>
          <w:sz w:val="24"/>
          <w:szCs w:val="24"/>
          <w:lang w:eastAsia="es-CO"/>
        </w:rPr>
        <w:t xml:space="preserve"> para facilitar la recepción de recursos desde países donde la Fundación no tenga presencia jurídica. Este esquema permitiría canalizar aportes de donantes internacionales a través de organizaciones patrocinadoras autorizadas, garantizando transparencia, cumplimiento normativo y acceso a beneficios tributarios para los donantes. </w:t>
      </w:r>
    </w:p>
    <w:p w14:paraId="380BC3E8" w14:textId="77777777" w:rsidR="00135CEA" w:rsidRPr="00135CEA" w:rsidRDefault="00135CEA" w:rsidP="00135CEA">
      <w:pPr>
        <w:spacing w:before="100" w:beforeAutospacing="1" w:after="100" w:afterAutospacing="1" w:line="300" w:lineRule="atLeast"/>
        <w:outlineLvl w:val="2"/>
        <w:rPr>
          <w:rFonts w:ascii="Arial" w:eastAsia="Times New Roman" w:hAnsi="Arial" w:cs="Arial"/>
          <w:b/>
          <w:bCs/>
          <w:sz w:val="24"/>
          <w:szCs w:val="24"/>
          <w:lang w:eastAsia="es-CO"/>
        </w:rPr>
      </w:pPr>
      <w:r w:rsidRPr="00135CEA">
        <w:rPr>
          <w:rFonts w:ascii="Arial" w:eastAsia="Times New Roman" w:hAnsi="Arial" w:cs="Arial"/>
          <w:b/>
          <w:bCs/>
          <w:sz w:val="24"/>
          <w:szCs w:val="24"/>
          <w:lang w:eastAsia="es-CO"/>
        </w:rPr>
        <w:t>Transparencia y Rendición de Cuentas</w:t>
      </w:r>
    </w:p>
    <w:p w14:paraId="36675FD8" w14:textId="74C2731A" w:rsidR="00135CEA" w:rsidRPr="00135CEA" w:rsidRDefault="00135CEA" w:rsidP="00135CEA">
      <w:p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s-CO"/>
        </w:rPr>
      </w:pPr>
      <w:r w:rsidRPr="00135CEA">
        <w:rPr>
          <w:rFonts w:ascii="Arial" w:eastAsia="Times New Roman" w:hAnsi="Arial" w:cs="Arial"/>
          <w:sz w:val="24"/>
          <w:szCs w:val="24"/>
          <w:lang w:eastAsia="es-CO"/>
        </w:rPr>
        <w:t xml:space="preserve">La Fundación Social Perea basa su gestión en la transparencia y la confianza, garantizando a donantes y aliados la presentación de informes de ejecución, indicadores de impacto y mecanismos de seguimiento que evidencien el uso adecuado de los recursos y los resultados obtenidos en las comunidades beneficiarias. </w:t>
      </w:r>
    </w:p>
    <w:p w14:paraId="36D4B3AA" w14:textId="77777777" w:rsidR="00135CEA" w:rsidRPr="00135CEA" w:rsidRDefault="00135CEA" w:rsidP="00135CEA">
      <w:p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s-CO"/>
        </w:rPr>
      </w:pPr>
      <w:r w:rsidRPr="00135CEA">
        <w:rPr>
          <w:rFonts w:ascii="Arial" w:eastAsia="Times New Roman" w:hAnsi="Arial" w:cs="Arial"/>
          <w:b/>
          <w:bCs/>
          <w:sz w:val="24"/>
          <w:szCs w:val="24"/>
          <w:lang w:eastAsia="es-CO"/>
        </w:rPr>
        <w:lastRenderedPageBreak/>
        <w:t>Resumen ejecutivo:</w:t>
      </w:r>
      <w:r w:rsidRPr="00135CEA">
        <w:rPr>
          <w:rFonts w:ascii="Arial" w:eastAsia="Times New Roman" w:hAnsi="Arial" w:cs="Arial"/>
          <w:sz w:val="24"/>
          <w:szCs w:val="24"/>
          <w:lang w:eastAsia="es-CO"/>
        </w:rPr>
        <w:t xml:space="preserve"> La estrategia de </w:t>
      </w:r>
      <w:proofErr w:type="spellStart"/>
      <w:r w:rsidRPr="00135CEA">
        <w:rPr>
          <w:rFonts w:ascii="Arial" w:eastAsia="Times New Roman" w:hAnsi="Arial" w:cs="Arial"/>
          <w:sz w:val="24"/>
          <w:szCs w:val="24"/>
          <w:lang w:eastAsia="es-CO"/>
        </w:rPr>
        <w:t>fundraising</w:t>
      </w:r>
      <w:proofErr w:type="spellEnd"/>
      <w:r w:rsidRPr="00135CEA">
        <w:rPr>
          <w:rFonts w:ascii="Arial" w:eastAsia="Times New Roman" w:hAnsi="Arial" w:cs="Arial"/>
          <w:sz w:val="24"/>
          <w:szCs w:val="24"/>
          <w:lang w:eastAsia="es-CO"/>
        </w:rPr>
        <w:t xml:space="preserve"> de la Fundación Social Perea se fundamenta en la diversificación de fuentes de ingreso, el fortalecimiento de alianzas nacionales e internacionales y la movilización de recursos para ampliar el acceso a la educación y promover el desarrollo social sostenible en el Pacífico colombiano</w:t>
      </w:r>
    </w:p>
    <w:p w14:paraId="7B8087A6" w14:textId="77777777" w:rsidR="0032694E" w:rsidRPr="00510769" w:rsidRDefault="0032694E">
      <w:pPr>
        <w:rPr>
          <w:rFonts w:ascii="Arial" w:hAnsi="Arial" w:cs="Arial"/>
          <w:sz w:val="24"/>
          <w:szCs w:val="24"/>
        </w:rPr>
      </w:pPr>
    </w:p>
    <w:sectPr w:rsidR="0032694E" w:rsidRPr="00510769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4F307A"/>
    <w:multiLevelType w:val="multilevel"/>
    <w:tmpl w:val="F6244E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3A67306"/>
    <w:multiLevelType w:val="multilevel"/>
    <w:tmpl w:val="11F893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5CEA"/>
    <w:rsid w:val="00135CEA"/>
    <w:rsid w:val="0032694E"/>
    <w:rsid w:val="005107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8C7955"/>
  <w15:chartTrackingRefBased/>
  <w15:docId w15:val="{BC120CD0-5272-4DBA-A8A0-AD8091DA0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135CE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O"/>
    </w:rPr>
  </w:style>
  <w:style w:type="paragraph" w:styleId="Ttulo3">
    <w:name w:val="heading 3"/>
    <w:basedOn w:val="Normal"/>
    <w:link w:val="Ttulo3Car"/>
    <w:uiPriority w:val="9"/>
    <w:qFormat/>
    <w:rsid w:val="00135CE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135CEA"/>
    <w:rPr>
      <w:rFonts w:ascii="Times New Roman" w:eastAsia="Times New Roman" w:hAnsi="Times New Roman" w:cs="Times New Roman"/>
      <w:b/>
      <w:bCs/>
      <w:sz w:val="36"/>
      <w:szCs w:val="36"/>
      <w:lang w:eastAsia="es-CO"/>
    </w:rPr>
  </w:style>
  <w:style w:type="character" w:customStyle="1" w:styleId="Ttulo3Car">
    <w:name w:val="Título 3 Car"/>
    <w:basedOn w:val="Fuentedeprrafopredeter"/>
    <w:link w:val="Ttulo3"/>
    <w:uiPriority w:val="9"/>
    <w:rsid w:val="00135CEA"/>
    <w:rPr>
      <w:rFonts w:ascii="Times New Roman" w:eastAsia="Times New Roman" w:hAnsi="Times New Roman" w:cs="Times New Roman"/>
      <w:b/>
      <w:bCs/>
      <w:sz w:val="27"/>
      <w:szCs w:val="27"/>
      <w:lang w:eastAsia="es-CO"/>
    </w:rPr>
  </w:style>
  <w:style w:type="character" w:styleId="Hipervnculo">
    <w:name w:val="Hyperlink"/>
    <w:basedOn w:val="Fuentedeprrafopredeter"/>
    <w:uiPriority w:val="99"/>
    <w:semiHidden/>
    <w:unhideWhenUsed/>
    <w:rsid w:val="00135CEA"/>
    <w:rPr>
      <w:strike w:val="0"/>
      <w:dstrike w:val="0"/>
      <w:color w:val="464FEB"/>
      <w:u w:val="none"/>
      <w:effect w:val="none"/>
    </w:rPr>
  </w:style>
  <w:style w:type="paragraph" w:styleId="NormalWeb">
    <w:name w:val="Normal (Web)"/>
    <w:basedOn w:val="Normal"/>
    <w:uiPriority w:val="99"/>
    <w:semiHidden/>
    <w:unhideWhenUsed/>
    <w:rsid w:val="00135C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O"/>
    </w:rPr>
  </w:style>
  <w:style w:type="character" w:styleId="Textoennegrita">
    <w:name w:val="Strong"/>
    <w:basedOn w:val="Fuentedeprrafopredeter"/>
    <w:uiPriority w:val="22"/>
    <w:qFormat/>
    <w:rsid w:val="00135CE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705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36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644</Words>
  <Characters>3542</Characters>
  <Application>Microsoft Office Word</Application>
  <DocSecurity>0</DocSecurity>
  <Lines>29</Lines>
  <Paragraphs>8</Paragraphs>
  <ScaleCrop>false</ScaleCrop>
  <Company/>
  <LinksUpToDate>false</LinksUpToDate>
  <CharactersWithSpaces>4178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Educación</dc:creator>
  <cp:keywords/>
  <dc:description/>
  <cp:lastModifiedBy>Educación</cp:lastModifiedBy>
  <cp:revision>2</cp:revision>
  <dcterms:created xsi:type="dcterms:W3CDTF">2026-09-23T14:59:00Z</dcterms:created>
  <dcterms:modified xsi:type="dcterms:W3CDTF">2026-09-23T15:03:00Z</dcterms:modified>
</cp:coreProperties>
</file>